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7D" w:rsidRDefault="009B04FE" w:rsidP="0037737D">
      <w:pPr>
        <w:spacing w:line="283" w:lineRule="exact"/>
        <w:jc w:val="right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i/>
          <w:sz w:val="16"/>
        </w:rPr>
        <w:t>Załącznik nr 1</w:t>
      </w:r>
      <w:r w:rsidR="0037737D">
        <w:rPr>
          <w:rFonts w:ascii="Arial" w:hAnsi="Arial"/>
          <w:i/>
          <w:sz w:val="16"/>
        </w:rPr>
        <w:t xml:space="preserve"> </w:t>
      </w:r>
      <w:r w:rsidR="00E62CDC">
        <w:rPr>
          <w:rFonts w:ascii="Arial" w:hAnsi="Arial"/>
          <w:i/>
          <w:sz w:val="16"/>
        </w:rPr>
        <w:t>–</w:t>
      </w:r>
      <w:r w:rsidR="0037737D">
        <w:rPr>
          <w:rFonts w:ascii="Arial" w:hAnsi="Arial"/>
          <w:i/>
          <w:sz w:val="16"/>
        </w:rPr>
        <w:t xml:space="preserve"> </w:t>
      </w:r>
      <w:r w:rsidR="00E62CDC">
        <w:rPr>
          <w:rFonts w:ascii="Arial" w:hAnsi="Arial"/>
          <w:i/>
          <w:sz w:val="16"/>
        </w:rPr>
        <w:t xml:space="preserve">Wzór </w:t>
      </w:r>
      <w:r w:rsidR="0037737D">
        <w:rPr>
          <w:rFonts w:ascii="Arial" w:hAnsi="Arial"/>
          <w:i/>
          <w:sz w:val="16"/>
        </w:rPr>
        <w:t>formularz</w:t>
      </w:r>
      <w:r w:rsidR="00E62CDC">
        <w:rPr>
          <w:rFonts w:ascii="Arial" w:hAnsi="Arial"/>
          <w:i/>
          <w:sz w:val="16"/>
        </w:rPr>
        <w:t>a</w:t>
      </w:r>
      <w:r w:rsidR="0037737D">
        <w:rPr>
          <w:rFonts w:ascii="Arial" w:hAnsi="Arial"/>
          <w:i/>
          <w:sz w:val="16"/>
        </w:rPr>
        <w:t xml:space="preserve"> oferty</w:t>
      </w:r>
    </w:p>
    <w:p w:rsidR="009B04FE" w:rsidRDefault="009B04FE" w:rsidP="009B04FE">
      <w:pPr>
        <w:spacing w:line="283" w:lineRule="exac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Udzielający zamówienia</w:t>
      </w:r>
    </w:p>
    <w:p w:rsidR="009B04FE" w:rsidRPr="003525EE" w:rsidRDefault="009B04FE" w:rsidP="009B04FE">
      <w:pPr>
        <w:spacing w:line="283" w:lineRule="exact"/>
        <w:rPr>
          <w:rFonts w:ascii="Arial" w:hAnsi="Arial"/>
          <w:sz w:val="22"/>
          <w:szCs w:val="22"/>
        </w:rPr>
      </w:pPr>
      <w:r w:rsidRPr="003525EE">
        <w:rPr>
          <w:rFonts w:ascii="Arial" w:hAnsi="Arial"/>
          <w:sz w:val="22"/>
          <w:szCs w:val="22"/>
        </w:rPr>
        <w:t xml:space="preserve">Szpital Specjalistyczny </w:t>
      </w:r>
    </w:p>
    <w:p w:rsidR="009B04FE" w:rsidRPr="00E62CDC" w:rsidRDefault="009B04FE" w:rsidP="00E62CDC">
      <w:pPr>
        <w:spacing w:line="283" w:lineRule="exact"/>
        <w:rPr>
          <w:rFonts w:ascii="Arial" w:hAnsi="Arial"/>
          <w:sz w:val="22"/>
          <w:szCs w:val="22"/>
        </w:rPr>
      </w:pPr>
      <w:r w:rsidRPr="003525EE">
        <w:rPr>
          <w:rFonts w:ascii="Arial" w:hAnsi="Arial"/>
          <w:sz w:val="22"/>
          <w:szCs w:val="22"/>
        </w:rPr>
        <w:t>im. Świętej Rodziny SPZOZ</w:t>
      </w:r>
    </w:p>
    <w:p w:rsidR="009B04FE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</w:p>
    <w:p w:rsidR="009B04FE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 w:rsidR="009B04FE" w:rsidRDefault="00BC029F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 konkurs nr K4</w:t>
      </w:r>
      <w:r w:rsidR="009B04FE">
        <w:rPr>
          <w:rFonts w:ascii="Arial" w:hAnsi="Arial"/>
          <w:b/>
          <w:sz w:val="22"/>
          <w:szCs w:val="22"/>
        </w:rPr>
        <w:t xml:space="preserve">/2024/DZP </w:t>
      </w:r>
    </w:p>
    <w:p w:rsidR="009B04FE" w:rsidRDefault="009B04FE" w:rsidP="009B04FE">
      <w:pPr>
        <w:spacing w:line="283" w:lineRule="exact"/>
        <w:jc w:val="center"/>
        <w:rPr>
          <w:rFonts w:ascii="Arial" w:hAnsi="Arial"/>
          <w:sz w:val="22"/>
          <w:szCs w:val="22"/>
        </w:rPr>
      </w:pPr>
      <w:r w:rsidRPr="00F55336">
        <w:rPr>
          <w:rFonts w:ascii="Arial" w:hAnsi="Arial"/>
          <w:b/>
          <w:sz w:val="22"/>
          <w:szCs w:val="22"/>
        </w:rPr>
        <w:t>na udzielanie świadczeń zdrowotnych w zakresie badań histopatologicznych i cytologicznych na rzecz Szpitala Specjalistycznego im. Świętej Rodziny oraz najem pomieszczeń i utworzenie w nich pracowni histopatologicznej</w:t>
      </w:r>
    </w:p>
    <w:p w:rsidR="009B04FE" w:rsidRDefault="009B04FE" w:rsidP="00E62CDC">
      <w:pPr>
        <w:spacing w:line="283" w:lineRule="exact"/>
        <w:rPr>
          <w:rFonts w:ascii="Arial" w:hAnsi="Arial"/>
          <w:b/>
          <w:bCs/>
          <w:sz w:val="22"/>
          <w:szCs w:val="22"/>
        </w:rPr>
      </w:pP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Dane Oferenta: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i nazwisko lub nazwa (firma):    ...............................................................................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Adres:</w:t>
      </w:r>
      <w:r>
        <w:rPr>
          <w:rFonts w:ascii="Arial" w:hAnsi="Arial"/>
          <w:sz w:val="22"/>
          <w:szCs w:val="22"/>
        </w:rPr>
        <w:tab/>
        <w:t xml:space="preserve">                                             ...............................................................................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</w:t>
      </w:r>
      <w:r>
        <w:rPr>
          <w:rFonts w:ascii="Arial" w:hAnsi="Arial"/>
          <w:sz w:val="22"/>
          <w:szCs w:val="22"/>
        </w:rPr>
        <w:tab/>
        <w:t>REGON</w:t>
      </w:r>
      <w:r>
        <w:rPr>
          <w:rFonts w:ascii="Arial" w:hAnsi="Arial"/>
          <w:sz w:val="22"/>
          <w:szCs w:val="22"/>
        </w:rPr>
        <w:tab/>
        <w:t xml:space="preserve">     ........................................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telefonu:</w:t>
      </w:r>
      <w:r>
        <w:rPr>
          <w:rFonts w:ascii="Arial" w:hAnsi="Arial"/>
          <w:sz w:val="22"/>
          <w:szCs w:val="22"/>
        </w:rPr>
        <w:tab/>
        <w:t>........................................</w:t>
      </w:r>
      <w:r>
        <w:rPr>
          <w:rFonts w:ascii="Arial" w:hAnsi="Arial"/>
          <w:sz w:val="22"/>
          <w:szCs w:val="22"/>
        </w:rPr>
        <w:tab/>
        <w:t>Nr faksu:</w:t>
      </w:r>
      <w:r w:rsidRPr="00BB695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poczty elektronicznej: ........................................</w:t>
      </w:r>
    </w:p>
    <w:p w:rsidR="00BC029F" w:rsidRDefault="00BC029F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BC029F" w:rsidRDefault="00BC029F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za jeden bloczek wynosi………………………….. zł dla badań objętych tabelą nr 1.</w:t>
      </w:r>
    </w:p>
    <w:p w:rsidR="00BC029F" w:rsidRDefault="00BC029F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Przewidywana szacunkowa liczba bloczków na 12 miesięcy wynosi </w:t>
      </w:r>
      <w:r w:rsidR="00BB6B9B" w:rsidRPr="00BB6B9B">
        <w:rPr>
          <w:rFonts w:ascii="Arial" w:hAnsi="Arial"/>
          <w:color w:val="000000" w:themeColor="text1"/>
          <w:sz w:val="22"/>
          <w:szCs w:val="22"/>
        </w:rPr>
        <w:t>61.058</w:t>
      </w:r>
      <w:r w:rsidRPr="00F9497D">
        <w:rPr>
          <w:rFonts w:ascii="Arial" w:hAnsi="Arial"/>
          <w:color w:val="auto"/>
          <w:sz w:val="22"/>
          <w:szCs w:val="22"/>
        </w:rPr>
        <w:t>.</w:t>
      </w:r>
    </w:p>
    <w:p w:rsidR="00BC029F" w:rsidRDefault="00BC029F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Wartość szacunkowej liczby bloczków wynosi……………………. zł</w:t>
      </w:r>
    </w:p>
    <w:p w:rsidR="00BC029F" w:rsidRDefault="00BC029F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BC029F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Tabela nr 1  </w:t>
      </w:r>
    </w:p>
    <w:tbl>
      <w:tblPr>
        <w:tblW w:w="7656" w:type="dxa"/>
        <w:jc w:val="center"/>
        <w:tblLayout w:type="fixed"/>
        <w:tblCellMar>
          <w:left w:w="66" w:type="dxa"/>
          <w:right w:w="66" w:type="dxa"/>
        </w:tblCellMar>
        <w:tblLook w:val="0000"/>
      </w:tblPr>
      <w:tblGrid>
        <w:gridCol w:w="568"/>
        <w:gridCol w:w="3969"/>
        <w:gridCol w:w="1559"/>
        <w:gridCol w:w="1560"/>
      </w:tblGrid>
      <w:tr w:rsidR="00C711CD" w:rsidRPr="00400D49" w:rsidTr="00C711CD">
        <w:trPr>
          <w:cantSplit/>
          <w:jc w:val="center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Rodzaj badania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Maksymalny termin wykonania badania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Szacunkowa liczba badań </w:t>
            </w:r>
          </w:p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a 12 miesięcy</w:t>
            </w:r>
          </w:p>
        </w:tc>
      </w:tr>
      <w:tr w:rsidR="00C711CD" w:rsidRPr="00400D49" w:rsidTr="00C711CD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Mały materiał tkankowy: wyskrobiny z jamy macicy, polip trzonu, wyskrobiny z szyjki macicy, pojedynczy wycinek z tarczy części pochwowej szyjki macicy, pojedynczy wycinek z jelita, skóry, sromu, sutka, itp.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1CD" w:rsidRPr="00BB6B9B" w:rsidRDefault="00BB6B9B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BB6B9B">
              <w:rPr>
                <w:rFonts w:ascii="Arial" w:hAnsi="Arial"/>
                <w:color w:val="000000" w:themeColor="text1"/>
                <w:sz w:val="22"/>
                <w:szCs w:val="22"/>
              </w:rPr>
              <w:t>2.696</w:t>
            </w:r>
          </w:p>
        </w:tc>
      </w:tr>
      <w:tr w:rsidR="00C711CD" w:rsidRPr="00400D49" w:rsidTr="00C711CD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Mały materiał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nieonkologiczny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: tłuszczaki, pojedynczy mięśniak, przydatki po jednej stronie, pojedynczy guzek tarczycy, łagodne zmiany skóry, zmiany barwnikowe, węzeł chłonny, BGI lub VAB sutka (1 lokalizacja), torbiel gruczołu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Bartholina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endometrioza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 zewnętrzna, łagodny guzek sutka, wyrostek robaczkowy, pęcherzyk żółciowy, wycinki z tkanek narządów jamy brzusznej, itp.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1CD" w:rsidRPr="00BB6B9B" w:rsidRDefault="0003692F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4.472</w:t>
            </w:r>
          </w:p>
        </w:tc>
      </w:tr>
      <w:tr w:rsidR="00C711CD" w:rsidRPr="00400D49" w:rsidTr="00C711CD">
        <w:trPr>
          <w:cantSplit/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Duży materiał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nieonkologiczny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: mięśniaki trzonu macicy, macica z przydatkami, popłód, tarczyca, żołądek, jelito, guzy jajnika typu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borderline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>, srom, nerka, fragment wątroby, śledziona, trzustka, itp.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1CD" w:rsidRPr="00BB6B9B" w:rsidRDefault="0003692F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1.181</w:t>
            </w:r>
          </w:p>
        </w:tc>
      </w:tr>
      <w:tr w:rsidR="00C711CD" w:rsidRPr="00400D49" w:rsidTr="00C711CD">
        <w:trPr>
          <w:cantSplit/>
          <w:trHeight w:val="300"/>
          <w:jc w:val="center"/>
        </w:trPr>
        <w:tc>
          <w:tcPr>
            <w:tcW w:w="5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Mały materiał onkologiczny: wycinki skórne z podejrzeniem melanoma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mal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>., wycinki z raka skóry, itp.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1CD" w:rsidRPr="00BB6B9B" w:rsidRDefault="0003692F" w:rsidP="00BB6B9B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617</w:t>
            </w:r>
          </w:p>
        </w:tc>
      </w:tr>
      <w:tr w:rsidR="00C711CD" w:rsidRPr="00400D49" w:rsidTr="00C711CD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11CD" w:rsidRPr="00400D49" w:rsidRDefault="00C711CD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Duży materiał onkologiczny: materiał pooperacyjny w przypadku raka żołądka, jelita grubego, trzustki, trzonu macicy, jajników, nerki, tarczycy, sutka, wątroby, śledziony, węzłów chłonnych, tkanek pobranych z narządów jamy brzusznej, itp.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C711CD" w:rsidRPr="00400D49" w:rsidRDefault="00C711CD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1CD" w:rsidRPr="00BB6B9B" w:rsidRDefault="0003692F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1.464</w:t>
            </w:r>
          </w:p>
        </w:tc>
      </w:tr>
    </w:tbl>
    <w:p w:rsidR="009B04FE" w:rsidRDefault="009B04FE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BC029F" w:rsidRDefault="00C711C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Tabela nr 2</w:t>
      </w:r>
    </w:p>
    <w:p w:rsidR="00BC029F" w:rsidRDefault="00BC029F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tbl>
      <w:tblPr>
        <w:tblW w:w="10859" w:type="dxa"/>
        <w:jc w:val="center"/>
        <w:tblLayout w:type="fixed"/>
        <w:tblCellMar>
          <w:left w:w="66" w:type="dxa"/>
          <w:right w:w="66" w:type="dxa"/>
        </w:tblCellMar>
        <w:tblLook w:val="0000"/>
      </w:tblPr>
      <w:tblGrid>
        <w:gridCol w:w="568"/>
        <w:gridCol w:w="1502"/>
        <w:gridCol w:w="2467"/>
        <w:gridCol w:w="1559"/>
        <w:gridCol w:w="1560"/>
        <w:gridCol w:w="1417"/>
        <w:gridCol w:w="1786"/>
      </w:tblGrid>
      <w:tr w:rsidR="00BC029F" w:rsidRPr="00400D49" w:rsidTr="00BC029F">
        <w:trPr>
          <w:cantSplit/>
          <w:jc w:val="center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Rodzaj badania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Maksymalny termin wykonania badania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Szacunkowa roczna liczba badań </w:t>
            </w:r>
          </w:p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a 12 miesięcy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Cena badania w zł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Wartość badań</w:t>
            </w:r>
            <w:r w:rsidRPr="00400D4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a 12 miesięcy w zł</w:t>
            </w:r>
          </w:p>
        </w:tc>
      </w:tr>
      <w:tr w:rsidR="00BC029F" w:rsidRPr="00852BD1" w:rsidTr="00BC029F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C711CD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Średni materiał onkologiczny: węzły chłonne, guz ślinianki, guzek sutka (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tumorektomia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>), materiał z biopsji grubo igłowej sutka VAB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677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C029F" w:rsidRPr="00852BD1" w:rsidTr="00BC029F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C711CD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Cytologiczne badanie wymazu z szyjki macicy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1,378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C029F" w:rsidRPr="00852BD1" w:rsidTr="00BC029F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C711CD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Cytologia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nieginekologiczna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466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C029F" w:rsidRPr="00852BD1" w:rsidTr="00BC029F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C711CD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Badania śródoperacyjne („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intra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>”)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max do 60 minut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178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C029F" w:rsidRPr="00852BD1" w:rsidTr="00BC029F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C711CD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Badania immunohistochemiczne (za 1 odczyn)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14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2.524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C029F" w:rsidRPr="00852BD1" w:rsidTr="00BC029F">
        <w:trPr>
          <w:cantSplit/>
          <w:trHeight w:val="703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C711CD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Badanie HER2 metodą immunohistochemiczną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14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334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C029F" w:rsidRPr="00852BD1" w:rsidTr="00BC029F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C711CD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Ocena genu metodą FISH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15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C029F" w:rsidRPr="00852BD1" w:rsidTr="00BC029F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C711CD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Konsultacja specjalistyczna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21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C029F" w:rsidRPr="00852BD1" w:rsidTr="00BC029F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C711CD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BRCA1 BRCA2 –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sekwencjonowanie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 NGS – mutacje somatyczne w nowotworze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32 dni robocze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C029F" w:rsidRPr="00852BD1" w:rsidTr="000034F1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029F" w:rsidRPr="00400D49" w:rsidRDefault="00C711CD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both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Badanie mutacji genu POLE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32 dni robocze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C029F" w:rsidRPr="00852BD1" w:rsidTr="000034F1">
        <w:trPr>
          <w:cantSplit/>
          <w:trHeight w:val="30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4A39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Badania genetyczne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MMR-Ekspresja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 antygenów (MLH1, MSH2, MSH6, PMS2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32 dni robocze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C029F" w:rsidRPr="00852BD1" w:rsidRDefault="00BC029F" w:rsidP="00BC029F">
            <w:pPr>
              <w:spacing w:line="283" w:lineRule="exact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C029F" w:rsidRPr="00400D49" w:rsidTr="000034F1">
        <w:trPr>
          <w:cantSplit/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</w:t>
            </w:r>
            <w:r w:rsidR="004A392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Badanie mutacji genu PIK3CA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12 dni roboczych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BC029F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BC029F" w:rsidRPr="00400D49" w:rsidTr="00BC029F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</w:t>
            </w:r>
            <w:r w:rsidR="004A39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Badanie ekspresji antygenu PD-L1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12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BC029F" w:rsidRPr="00400D49" w:rsidTr="00BC029F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</w:t>
            </w:r>
            <w:r w:rsidR="004A392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Niestabilność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mikrosatelitarna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 MSI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12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700967" w:rsidRDefault="00700967" w:rsidP="00BC029F">
            <w:pPr>
              <w:spacing w:line="283" w:lineRule="exact"/>
              <w:jc w:val="center"/>
              <w:rPr>
                <w:rFonts w:ascii="Arial" w:hAnsi="Arial"/>
                <w:color w:val="000000" w:themeColor="text1"/>
              </w:rPr>
            </w:pPr>
            <w:r w:rsidRPr="00700967">
              <w:rPr>
                <w:rFonts w:ascii="Arial" w:hAnsi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BC029F" w:rsidRPr="00400D49" w:rsidTr="00BC029F">
        <w:trPr>
          <w:cantSplit/>
          <w:trHeight w:val="300"/>
          <w:jc w:val="center"/>
        </w:trPr>
        <w:tc>
          <w:tcPr>
            <w:tcW w:w="20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C029F" w:rsidRPr="00400D49" w:rsidRDefault="00BC029F" w:rsidP="00BC029F">
            <w:pPr>
              <w:snapToGrid w:val="0"/>
              <w:spacing w:line="283" w:lineRule="exac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29F" w:rsidRPr="00400D49" w:rsidRDefault="004A392C" w:rsidP="00BC029F">
            <w:pPr>
              <w:snapToGrid w:val="0"/>
              <w:spacing w:line="283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za badania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029F" w:rsidRPr="00400D49" w:rsidRDefault="00BC029F" w:rsidP="00BC029F">
            <w:pPr>
              <w:spacing w:line="283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C029F" w:rsidRPr="000034F1" w:rsidRDefault="00BC029F" w:rsidP="0037737D">
      <w:pPr>
        <w:spacing w:line="283" w:lineRule="exact"/>
        <w:jc w:val="both"/>
        <w:rPr>
          <w:rFonts w:ascii="Arial" w:hAnsi="Arial"/>
          <w:sz w:val="10"/>
          <w:szCs w:val="10"/>
        </w:rPr>
      </w:pPr>
    </w:p>
    <w:p w:rsidR="00BC029F" w:rsidRDefault="004A392C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Wartość oferty razem (wartość </w:t>
      </w:r>
      <w:proofErr w:type="spellStart"/>
      <w:r>
        <w:rPr>
          <w:rFonts w:ascii="Arial" w:hAnsi="Arial"/>
          <w:sz w:val="22"/>
          <w:szCs w:val="22"/>
        </w:rPr>
        <w:t>bloczków+wartość</w:t>
      </w:r>
      <w:proofErr w:type="spellEnd"/>
      <w:r>
        <w:rPr>
          <w:rFonts w:ascii="Arial" w:hAnsi="Arial"/>
          <w:sz w:val="22"/>
          <w:szCs w:val="22"/>
        </w:rPr>
        <w:t xml:space="preserve"> badań) …………………………………… zł za 12 miesięcy </w:t>
      </w:r>
    </w:p>
    <w:p w:rsidR="004A392C" w:rsidRDefault="004A392C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9B04FE" w:rsidRDefault="004B45EB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Okres świadczenia usług: 3 lata. </w:t>
      </w:r>
    </w:p>
    <w:p w:rsidR="004B45EB" w:rsidRDefault="004B45EB" w:rsidP="004B45EB">
      <w:pPr>
        <w:spacing w:line="283" w:lineRule="exact"/>
        <w:jc w:val="both"/>
        <w:rPr>
          <w:rFonts w:ascii="Arial" w:hAnsi="Arial"/>
          <w:sz w:val="22"/>
        </w:rPr>
      </w:pPr>
    </w:p>
    <w:p w:rsidR="004B45EB" w:rsidRDefault="004B45EB" w:rsidP="004B45EB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Oferowana cena najmu pomieszczeń …....... zł/m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netto miesięcznie.</w:t>
      </w:r>
    </w:p>
    <w:p w:rsidR="004B45EB" w:rsidRDefault="004B45EB" w:rsidP="004B45EB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Łączna miesięczna cena brutto za najem całej powierzchni ......................... zł</w:t>
      </w:r>
    </w:p>
    <w:p w:rsidR="009B04FE" w:rsidRDefault="009B04FE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Pr="00717658" w:rsidRDefault="000034F1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Doświadczenie patomorfologa (podać liczbę lat)</w:t>
      </w:r>
      <w:r w:rsidR="0037737D">
        <w:rPr>
          <w:rFonts w:ascii="Arial" w:hAnsi="Arial"/>
          <w:sz w:val="22"/>
          <w:szCs w:val="22"/>
        </w:rPr>
        <w:t>……………………..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Oferowany termin płatności faktury za badania </w:t>
      </w:r>
      <w:r w:rsidR="004B45EB">
        <w:rPr>
          <w:rFonts w:ascii="Arial" w:hAnsi="Arial"/>
          <w:sz w:val="22"/>
        </w:rPr>
        <w:t xml:space="preserve">(min. 30 dni)  </w:t>
      </w:r>
      <w:r>
        <w:rPr>
          <w:rFonts w:ascii="Arial" w:hAnsi="Arial"/>
          <w:sz w:val="22"/>
        </w:rPr>
        <w:t>.......... dni.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Pr="00642CBB" w:rsidRDefault="0037737D" w:rsidP="00E62CDC">
      <w:pPr>
        <w:pStyle w:val="Textbod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642CBB">
        <w:rPr>
          <w:rFonts w:ascii="Arial" w:hAnsi="Arial" w:cs="Arial"/>
          <w:sz w:val="22"/>
          <w:szCs w:val="22"/>
        </w:rPr>
        <w:t>Zamówienie wykonamy sami*</w:t>
      </w:r>
      <w:r w:rsidR="004B45EB">
        <w:rPr>
          <w:rFonts w:ascii="Arial" w:hAnsi="Arial" w:cs="Arial"/>
          <w:sz w:val="22"/>
          <w:szCs w:val="22"/>
        </w:rPr>
        <w:t xml:space="preserve"> /</w:t>
      </w:r>
      <w:r w:rsidRPr="00642CBB">
        <w:rPr>
          <w:rFonts w:ascii="Arial" w:hAnsi="Arial" w:cs="Arial"/>
          <w:sz w:val="22"/>
          <w:szCs w:val="22"/>
        </w:rPr>
        <w:t xml:space="preserve">Zamówienie wykonamy przy udziale </w:t>
      </w:r>
      <w:r>
        <w:rPr>
          <w:rFonts w:ascii="Arial" w:hAnsi="Arial" w:cs="Arial"/>
          <w:sz w:val="22"/>
          <w:szCs w:val="22"/>
        </w:rPr>
        <w:t xml:space="preserve">podwykonawców* </w:t>
      </w:r>
    </w:p>
    <w:p w:rsidR="0037737D" w:rsidRPr="004B45EB" w:rsidRDefault="0037737D" w:rsidP="00E62CDC">
      <w:pPr>
        <w:pStyle w:val="Textbody"/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4B45EB">
        <w:rPr>
          <w:rFonts w:ascii="Arial" w:hAnsi="Arial" w:cs="Arial"/>
          <w:b/>
          <w:sz w:val="18"/>
          <w:szCs w:val="18"/>
        </w:rPr>
        <w:t xml:space="preserve">* </w:t>
      </w:r>
      <w:r w:rsidRPr="004B45EB">
        <w:rPr>
          <w:rFonts w:ascii="Arial" w:hAnsi="Arial" w:cs="Arial"/>
          <w:sz w:val="18"/>
          <w:szCs w:val="18"/>
        </w:rPr>
        <w:t>niepotrzebne skreślić</w:t>
      </w:r>
    </w:p>
    <w:p w:rsidR="0037737D" w:rsidRPr="00C40EA9" w:rsidRDefault="0037737D" w:rsidP="0037737D">
      <w:pPr>
        <w:pStyle w:val="Textbody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(Jeżeli dotyczy)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Lista podwykonawców (nazwa i adres) oraz zakres świadczeń powierzonych podwykonawcy:</w:t>
      </w:r>
    </w:p>
    <w:p w:rsidR="004B45EB" w:rsidRDefault="004B45EB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</w:p>
    <w:p w:rsidR="0037737D" w:rsidRDefault="0037737D" w:rsidP="0037737D">
      <w:pPr>
        <w:spacing w:line="283" w:lineRule="exact"/>
        <w:jc w:val="both"/>
      </w:pPr>
    </w:p>
    <w:p w:rsidR="0037737D" w:rsidRPr="00C40EA9" w:rsidRDefault="0037737D" w:rsidP="0037737D">
      <w:pPr>
        <w:spacing w:line="283" w:lineRule="exact"/>
        <w:jc w:val="both"/>
        <w:rPr>
          <w:rFonts w:ascii="Arial" w:hAnsi="Arial" w:cs="Arial"/>
          <w:sz w:val="22"/>
          <w:szCs w:val="22"/>
        </w:rPr>
      </w:pPr>
      <w:r w:rsidRPr="00C40EA9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C40EA9">
        <w:rPr>
          <w:rFonts w:ascii="Arial" w:hAnsi="Arial" w:cs="Arial"/>
          <w:sz w:val="22"/>
          <w:szCs w:val="22"/>
        </w:rPr>
        <w:tab/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Wymagane dokumenty: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Aktualny odpis z rejestru sądowego lub zaświadczenie o wpisie do centralnej ewidencji i informacji o działalności gospodarczej.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Aktualny odpis z rejestru zakładów opieki zdrowotnej lub rejestru praktyk lekarskich.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Oświadczenie Oferenta.</w:t>
      </w:r>
    </w:p>
    <w:p w:rsidR="005B4708" w:rsidRPr="005B4708" w:rsidRDefault="005B4708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5B4708">
        <w:rPr>
          <w:rFonts w:ascii="Arial" w:eastAsia="Times New Roman" w:hAnsi="Arial" w:cs="Arial"/>
          <w:sz w:val="22"/>
          <w:szCs w:val="22"/>
        </w:rPr>
        <w:t>Oświadczenie o niepodleganiu wykluczeniu na podstawie przepisów sankcyjnych.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5B4708">
        <w:rPr>
          <w:rFonts w:ascii="Arial" w:hAnsi="Arial"/>
          <w:sz w:val="22"/>
        </w:rPr>
        <w:t>Kopia aktualnej polisy OC w zakresie działalności objętej konkursem.</w:t>
      </w:r>
    </w:p>
    <w:p w:rsidR="005B4708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Lista lekarzy wykonujących badania.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Potwierdzenie wniesienia wadium.</w:t>
      </w:r>
    </w:p>
    <w:p w:rsidR="0037737D" w:rsidRDefault="0037737D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4B45EB">
      <w:pPr>
        <w:spacing w:line="283" w:lineRule="exact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............................................................................           </w:t>
      </w:r>
      <w:r w:rsidR="004B45EB">
        <w:rPr>
          <w:rFonts w:ascii="Arial" w:hAnsi="Arial"/>
          <w:i/>
          <w:sz w:val="16"/>
          <w:szCs w:val="16"/>
        </w:rPr>
        <w:t xml:space="preserve">                              </w:t>
      </w:r>
      <w:r>
        <w:rPr>
          <w:rFonts w:ascii="Arial" w:hAnsi="Arial"/>
          <w:i/>
          <w:sz w:val="16"/>
          <w:szCs w:val="16"/>
        </w:rPr>
        <w:t xml:space="preserve">  ......................................................................</w:t>
      </w:r>
    </w:p>
    <w:p w:rsidR="0037737D" w:rsidRDefault="0037737D" w:rsidP="004B45EB">
      <w:pPr>
        <w:spacing w:line="283" w:lineRule="exact"/>
        <w:ind w:left="85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6"/>
          <w:szCs w:val="16"/>
        </w:rPr>
        <w:t xml:space="preserve">Miejscowość i data                                     </w:t>
      </w:r>
      <w:r w:rsidR="004B45EB">
        <w:rPr>
          <w:rFonts w:ascii="Arial" w:hAnsi="Arial"/>
          <w:i/>
          <w:sz w:val="16"/>
          <w:szCs w:val="16"/>
        </w:rPr>
        <w:t xml:space="preserve">                 </w:t>
      </w:r>
      <w:r>
        <w:rPr>
          <w:rFonts w:ascii="Arial" w:hAnsi="Arial"/>
          <w:i/>
          <w:sz w:val="16"/>
          <w:szCs w:val="16"/>
        </w:rPr>
        <w:t>Podpis i pieczątka upoważnionego przedstawiciela Oferenta</w:t>
      </w:r>
    </w:p>
    <w:sectPr w:rsidR="0037737D" w:rsidSect="00507E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DA" w:rsidRDefault="005C4BDA" w:rsidP="00E62CDC">
      <w:r>
        <w:separator/>
      </w:r>
    </w:p>
  </w:endnote>
  <w:endnote w:type="continuationSeparator" w:id="0">
    <w:p w:rsidR="005C4BDA" w:rsidRDefault="005C4BDA" w:rsidP="00E6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3579"/>
      <w:docPartObj>
        <w:docPartGallery w:val="Page Numbers (Bottom of Page)"/>
        <w:docPartUnique/>
      </w:docPartObj>
    </w:sdtPr>
    <w:sdtContent>
      <w:p w:rsidR="00BC029F" w:rsidRDefault="00AC6F43">
        <w:pPr>
          <w:pStyle w:val="Stopka"/>
          <w:jc w:val="center"/>
        </w:pPr>
        <w:r>
          <w:fldChar w:fldCharType="begin"/>
        </w:r>
        <w:r w:rsidR="00553266">
          <w:instrText xml:space="preserve"> PAGE   \* MERGEFORMAT </w:instrText>
        </w:r>
        <w:r>
          <w:fldChar w:fldCharType="separate"/>
        </w:r>
        <w:r w:rsidR="00F94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29F" w:rsidRDefault="00BC02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DA" w:rsidRDefault="005C4BDA" w:rsidP="00E62CDC">
      <w:r>
        <w:separator/>
      </w:r>
    </w:p>
  </w:footnote>
  <w:footnote w:type="continuationSeparator" w:id="0">
    <w:p w:rsidR="005C4BDA" w:rsidRDefault="005C4BDA" w:rsidP="00E62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876"/>
    <w:multiLevelType w:val="hybridMultilevel"/>
    <w:tmpl w:val="8D2A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368F3"/>
    <w:multiLevelType w:val="hybridMultilevel"/>
    <w:tmpl w:val="6AFE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37D"/>
    <w:rsid w:val="000034F1"/>
    <w:rsid w:val="0003692F"/>
    <w:rsid w:val="00071817"/>
    <w:rsid w:val="00096BC4"/>
    <w:rsid w:val="000A3093"/>
    <w:rsid w:val="00107802"/>
    <w:rsid w:val="00110C8A"/>
    <w:rsid w:val="001C019D"/>
    <w:rsid w:val="002F7D1D"/>
    <w:rsid w:val="0034515B"/>
    <w:rsid w:val="0037737D"/>
    <w:rsid w:val="00400D49"/>
    <w:rsid w:val="004A392C"/>
    <w:rsid w:val="004B45EB"/>
    <w:rsid w:val="004F5931"/>
    <w:rsid w:val="00507E9B"/>
    <w:rsid w:val="00553266"/>
    <w:rsid w:val="005B4708"/>
    <w:rsid w:val="005C4BDA"/>
    <w:rsid w:val="00694D39"/>
    <w:rsid w:val="006E365E"/>
    <w:rsid w:val="00700967"/>
    <w:rsid w:val="007B2FCA"/>
    <w:rsid w:val="00852BD1"/>
    <w:rsid w:val="00870D9E"/>
    <w:rsid w:val="009B04FE"/>
    <w:rsid w:val="009F1213"/>
    <w:rsid w:val="00AC6F43"/>
    <w:rsid w:val="00B42DC2"/>
    <w:rsid w:val="00BB6B9B"/>
    <w:rsid w:val="00BC029F"/>
    <w:rsid w:val="00C711CD"/>
    <w:rsid w:val="00D22E03"/>
    <w:rsid w:val="00D30B05"/>
    <w:rsid w:val="00E62CDC"/>
    <w:rsid w:val="00E7138E"/>
    <w:rsid w:val="00F053F6"/>
    <w:rsid w:val="00F2025B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37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7737D"/>
    <w:pPr>
      <w:autoSpaceDN w:val="0"/>
      <w:spacing w:after="120" w:line="312" w:lineRule="exact"/>
      <w:ind w:left="397" w:hanging="397"/>
      <w:jc w:val="both"/>
    </w:pPr>
    <w:rPr>
      <w:rFonts w:ascii="Times New Roman" w:eastAsia="Lucida Sans Unicode" w:hAnsi="Times New Roman"/>
      <w:color w:val="auto"/>
      <w:kern w:val="3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62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CDC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2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CDC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B4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967"/>
    <w:rPr>
      <w:rFonts w:ascii="Segoe UI" w:eastAsia="HG Mincho Light J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5BB6-6978-40C4-AF81-63AEB961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2024-09-24T13:10:00Z</cp:lastPrinted>
  <dcterms:created xsi:type="dcterms:W3CDTF">2024-09-26T08:15:00Z</dcterms:created>
  <dcterms:modified xsi:type="dcterms:W3CDTF">2024-09-26T08:28:00Z</dcterms:modified>
</cp:coreProperties>
</file>